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CE" w:rsidRPr="00C375CE" w:rsidRDefault="00C375CE" w:rsidP="00C375CE">
      <w:pPr>
        <w:jc w:val="center"/>
        <w:rPr>
          <w:rStyle w:val="a6"/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ПОЛОЖЕНИЕ</w:t>
      </w:r>
    </w:p>
    <w:p w:rsidR="00C375CE" w:rsidRPr="00C375CE" w:rsidRDefault="00C375CE" w:rsidP="00C375CE">
      <w:pPr>
        <w:jc w:val="center"/>
        <w:rPr>
          <w:rStyle w:val="a6"/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о проведении конкурса молодежных проектов</w:t>
      </w:r>
    </w:p>
    <w:p w:rsidR="00C375CE" w:rsidRPr="00C375CE" w:rsidRDefault="00C375CE" w:rsidP="00C375CE">
      <w:pPr>
        <w:jc w:val="center"/>
        <w:rPr>
          <w:rStyle w:val="a6"/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"Челябинская область - это мы!"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Глава I. ОБЩИЕ ПОЛОЖЕНИЯ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1. Настоящее Положение определяет порядок организации и проведения конкурса молодежных проектов "Челябинская область - это мы!" (далее - конкурс).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2. Конкурс проводится ежегодно в целях: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1) создания условий для духовно-нравственного становления молодежи;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2) поддержки и развития социальной и законотворческой молодежной инициативы;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3) активизации участия молодежи в решении проблем социально-экономического развития Челябинской области;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4) повышения гражданской активности молодежи.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3. Организаторами конкурса являются Законодательное Собрание Челябинской области и Общественная молодежная палата при Законодательном Собрании Челябинской области.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4. Участниками конкурса являются граждане Российской Федерации в возрасте от 14 до 30 лет, проживающие на территории Челябинской области.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5. Для проведения конкурса создается конкурсная комиссия, состав которой утверждается распоряжением председателя Законодательного Собрания Челябинской области.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6. Конкурс проводится по следующим номинациям: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1) "Лучший социальный проект";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2) "Лучшее законодательное предложение";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3) "Лучший бизнес-проект";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4) "Лучший научно-исследовательский проект".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7. Конкурсные проекты (далее - проекты) выполняются участниками конкурса по следующим тематическим направлениям: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1) экономическая политика;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2) социальная политика;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3) образование, наука, здравоохранение и культура;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4) молодежная политика;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5) развитие предпринимательства, малого и среднего бизнеса;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6) бюджет и налоги;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7) развитие гражданского общества.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lastRenderedPageBreak/>
        <w:t>8. Проекты могут быть выполнены как индивидуально, так и творческим коллективом, в состав которого входят не более трех человек.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Глава II. ПОРЯДОК ПРОВЕДЕНИЯ КОНКУРСА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9. Конкурс проводится организаторами в два этапа.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Первый этап конкурса является предварительным, проводится в период с 1 января по 1 октября текущего года.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В целях оказания содействия организаторам конкурса в проведении первого этапа конкурса органами местного самоуправления городских округов и муниципальных районов Челябинской области и образовательными учреждениями высшего профессионального образования могут создаваться организационные комитеты.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Второй этап конкурса является финальным, проводится с 1 октября текущего года и завершается церемонией награждения победителей и призеров конкурса.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10. Для участия в финальном этапе конкурса проекты направляются в срок до 10 октября текущего года по адресу: 454009, город Челябинск, улица Кирова, 114, Законодательное Собрание Челябинской области.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11. На конкурс представляются проекты, ранее не занимавшие призовые места на всероссийских и международных конкурсах.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12. Проекты не возвращаются авторам и не рецензируются.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Глава III. ТРЕБОВАНИЯ К ОФОРМЛЕНИЮ КОНКУРСНЫХ МАТЕРИАЛОВ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13. Конкурсные материалы должны содержать: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1) заявку на участие в конкурсе согласно приложению 1 к настоящему Положению;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2) проект, титульный лист которого оформляется согласно приложению 2 к настоящему Положению;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3) краткую аннотацию проекта, выполненную в свободной форме на одном листе.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В случае</w:t>
      </w:r>
      <w:proofErr w:type="gramStart"/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,</w:t>
      </w:r>
      <w:proofErr w:type="gramEnd"/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 xml:space="preserve"> если проект выполнен творческим коллективом, в заявке на участие в конкурсе указываются сведения обо всех участниках творческого коллектива.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14. Проект должен быть представлен в печатном и сброшюрованном виде на бумажном носителе формата А</w:t>
      </w:r>
      <w:proofErr w:type="gramStart"/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4</w:t>
      </w:r>
      <w:proofErr w:type="gramEnd"/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 xml:space="preserve">. Объем проекта не должен превышать 20 страниц текста, напечатанного через 1,5 интервала шрифтом </w:t>
      </w:r>
      <w:proofErr w:type="spellStart"/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Times</w:t>
      </w:r>
      <w:proofErr w:type="spellEnd"/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New</w:t>
      </w:r>
      <w:proofErr w:type="spellEnd"/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Roman</w:t>
      </w:r>
      <w:proofErr w:type="spellEnd"/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 xml:space="preserve"> 14.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Глава IV. ПОДВЕДЕНИЕ ИТОГОВ КОНКУРСА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И НАГРАЖДЕНИЕ ПОБЕДИТЕЛЕЙ И ПРИЗЕРОВ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15. Конкурсная комиссия оценивает представленные проекты и вносит предложения по определению победителей и призеров конкурса на утверждение президиума Законодательного Собрания Челябинской области.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16. Основными критериями оценки проекта являются: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1) актуальность выбранной проблемы;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lastRenderedPageBreak/>
        <w:t>2) социальная, экономическая значимость проблемы;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3) соответствие проекта требованиям юридической техники;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 xml:space="preserve">4) </w:t>
      </w:r>
      <w:proofErr w:type="spellStart"/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инновационность</w:t>
      </w:r>
      <w:proofErr w:type="spellEnd"/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 xml:space="preserve"> проекта;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5) практическая реализация проекта и его перспективность;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6) экономическая обоснованность проекта.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17. В каждой номинации конкурса присуждаются три призовых места. Участникам конкурса, занявшим призовые места, вручаются дипломы лауреатов конкурса и денежные премии (далее - премия).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18. Размер премии при ее фактической выплате награжденному лицу после исчисления и удержания из нее налогов и сборов в соответствии с законодательством Российской Федерации должен составлять: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первая премия - 30000 (тридцать тысяч) рублей;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вторая премия - 24000 (двадцать четыре тысячи) рублей;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третья премия - 21000 (двадцать одна тысяча) рублей.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19. В случае присуждения премии за проект, подготовленный авторским коллективом, сумма премии не увеличивается, а распределяется между членами такого коллектива в равных долях. Диплом лауреата конкурса вручается каждому члену авторского коллектива.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20. Финансирование расходов, связанных с выплатой премий, производится за счет средств, предусмотренных в законе Челябинской области об областном бюджете на очередной финансовый год, в соответствии с бюджетной сметой Законодательного Собрания Челябинской области.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21. Награждение победителей конкурса проводится в декабре текущего года в Законодательном Собрании Челябинской области.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b w:val="0"/>
          <w:sz w:val="20"/>
          <w:szCs w:val="20"/>
          <w:bdr w:val="none" w:sz="0" w:space="0" w:color="auto" w:frame="1"/>
          <w:lang w:eastAsia="ru-RU"/>
        </w:rPr>
        <w:t>22. Итоги конкурса размещаются на официальном сайте Законодательного Собрания Челябинской области в сети "Интернет" и публикуются в средствах массовой информации, учрежденных органами государственной власти Челябинской области.</w:t>
      </w:r>
    </w:p>
    <w:p w:rsidR="00C375CE" w:rsidRPr="00C375CE" w:rsidRDefault="00C375CE" w:rsidP="00C375CE">
      <w:pPr>
        <w:rPr>
          <w:rStyle w:val="a6"/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Контактные телефоны:</w:t>
      </w:r>
    </w:p>
    <w:p w:rsidR="006F28BC" w:rsidRPr="00C375CE" w:rsidRDefault="00C375CE" w:rsidP="00C375CE">
      <w:pPr>
        <w:rPr>
          <w:rStyle w:val="a6"/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</w:pPr>
      <w:r w:rsidRPr="00C375CE">
        <w:rPr>
          <w:rStyle w:val="a6"/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(351) 239-25-41, 239-25-72, 239-25-78</w:t>
      </w:r>
    </w:p>
    <w:sectPr w:rsidR="006F28BC" w:rsidRPr="00C375CE" w:rsidSect="006F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16EF"/>
    <w:multiLevelType w:val="hybridMultilevel"/>
    <w:tmpl w:val="1F44B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D3E53"/>
    <w:multiLevelType w:val="hybridMultilevel"/>
    <w:tmpl w:val="4BC2D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6A98"/>
    <w:rsid w:val="00163BC6"/>
    <w:rsid w:val="002F6A98"/>
    <w:rsid w:val="006F28BC"/>
    <w:rsid w:val="00C3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6A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6A9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3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375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821</Words>
  <Characters>4684</Characters>
  <Application>Microsoft Office Word</Application>
  <DocSecurity>0</DocSecurity>
  <Lines>39</Lines>
  <Paragraphs>10</Paragraphs>
  <ScaleCrop>false</ScaleCrop>
  <Company>Южно-Уральский государственный университет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mashkovaks</dc:creator>
  <cp:keywords/>
  <dc:description/>
  <cp:lastModifiedBy>igoshinos</cp:lastModifiedBy>
  <cp:revision>3</cp:revision>
  <dcterms:created xsi:type="dcterms:W3CDTF">2016-06-08T10:00:00Z</dcterms:created>
  <dcterms:modified xsi:type="dcterms:W3CDTF">2016-06-08T10:19:00Z</dcterms:modified>
</cp:coreProperties>
</file>